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40"/>
        <w:gridCol w:w="895"/>
        <w:gridCol w:w="2840"/>
        <w:gridCol w:w="1980"/>
        <w:gridCol w:w="493"/>
        <w:gridCol w:w="493"/>
        <w:gridCol w:w="454"/>
      </w:tblGrid>
      <w:tr w:rsidR="007E2DF9" w:rsidRPr="00FD5C55" w14:paraId="06782E35" w14:textId="77777777" w:rsidTr="005B4659">
        <w:trPr>
          <w:trHeight w:val="20"/>
        </w:trPr>
        <w:tc>
          <w:tcPr>
            <w:tcW w:w="6475" w:type="dxa"/>
            <w:gridSpan w:val="4"/>
            <w:shd w:val="clear" w:color="auto" w:fill="auto"/>
            <w:noWrap/>
            <w:vAlign w:val="center"/>
            <w:hideMark/>
          </w:tcPr>
          <w:p w14:paraId="2DAA7A36" w14:textId="2C436547" w:rsidR="007E2DF9" w:rsidRPr="00FD5C55" w:rsidRDefault="00385778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المرفق المكتبي:</w:t>
            </w:r>
          </w:p>
          <w:p w14:paraId="001F4196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23D469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 المرجعي: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5B988D78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00أ</w:t>
            </w:r>
          </w:p>
        </w:tc>
      </w:tr>
      <w:tr w:rsidR="007E2DF9" w:rsidRPr="00FD5C55" w14:paraId="1DEB74C7" w14:textId="77777777" w:rsidTr="005B4659">
        <w:trPr>
          <w:trHeight w:val="20"/>
        </w:trPr>
        <w:tc>
          <w:tcPr>
            <w:tcW w:w="8455" w:type="dxa"/>
            <w:gridSpan w:val="5"/>
            <w:shd w:val="clear" w:color="auto" w:fill="auto"/>
            <w:noWrap/>
            <w:vAlign w:val="center"/>
            <w:hideMark/>
          </w:tcPr>
          <w:p w14:paraId="4B915329" w14:textId="47923839" w:rsidR="007E2DF9" w:rsidRPr="00FD5C55" w:rsidRDefault="007E2DF9" w:rsidP="005B4659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الجدول الزمني لأعمال الصيانة الوقائية المخطط لها لأجهزة القياس والتحكم - المرافق المكتبية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213036AB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</w:p>
          <w:p w14:paraId="51AE11BE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</w:p>
        </w:tc>
      </w:tr>
      <w:tr w:rsidR="007E2DF9" w:rsidRPr="00FD5C55" w14:paraId="274FE294" w14:textId="77777777" w:rsidTr="005B4659">
        <w:trPr>
          <w:trHeight w:val="165"/>
        </w:trPr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6CEBA618" w14:textId="77777777" w:rsidR="007E2DF9" w:rsidRPr="00FD5C55" w:rsidRDefault="007E2DF9" w:rsidP="005B4659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التاريخ:</w:t>
            </w:r>
          </w:p>
        </w:tc>
      </w:tr>
      <w:tr w:rsidR="007E2DF9" w:rsidRPr="00FD5C55" w14:paraId="77488560" w14:textId="77777777" w:rsidTr="005B4659">
        <w:trPr>
          <w:trHeight w:val="20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EB404FC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2040" w:type="dxa"/>
            <w:vMerge w:val="restart"/>
            <w:shd w:val="clear" w:color="auto" w:fill="C6D9F1"/>
            <w:noWrap/>
            <w:vAlign w:val="center"/>
            <w:hideMark/>
          </w:tcPr>
          <w:p w14:paraId="1B2FFA63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الجزء</w:t>
            </w:r>
          </w:p>
        </w:tc>
        <w:tc>
          <w:tcPr>
            <w:tcW w:w="895" w:type="dxa"/>
            <w:vMerge w:val="restart"/>
            <w:shd w:val="clear" w:color="auto" w:fill="C6D9F1"/>
            <w:noWrap/>
            <w:vAlign w:val="center"/>
            <w:hideMark/>
          </w:tcPr>
          <w:p w14:paraId="1AA55C5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2840" w:type="dxa"/>
            <w:vMerge w:val="restart"/>
            <w:shd w:val="clear" w:color="auto" w:fill="C6D9F1"/>
            <w:noWrap/>
            <w:vAlign w:val="center"/>
            <w:hideMark/>
          </w:tcPr>
          <w:p w14:paraId="54D44E2B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1980" w:type="dxa"/>
            <w:vMerge w:val="restart"/>
            <w:shd w:val="clear" w:color="auto" w:fill="C6D9F1"/>
            <w:noWrap/>
            <w:vAlign w:val="center"/>
            <w:hideMark/>
          </w:tcPr>
          <w:p w14:paraId="6FC7BC4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C8F0F3D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التحقق</w:t>
            </w:r>
          </w:p>
        </w:tc>
      </w:tr>
      <w:tr w:rsidR="007E2DF9" w:rsidRPr="00FD5C55" w14:paraId="4B0AA2A5" w14:textId="77777777" w:rsidTr="005B4659">
        <w:trPr>
          <w:trHeight w:val="20"/>
        </w:trPr>
        <w:tc>
          <w:tcPr>
            <w:tcW w:w="700" w:type="dxa"/>
            <w:vMerge/>
            <w:shd w:val="clear" w:color="auto" w:fill="C6D9F1"/>
            <w:noWrap/>
            <w:vAlign w:val="bottom"/>
            <w:hideMark/>
          </w:tcPr>
          <w:p w14:paraId="3431BB7F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shd w:val="clear" w:color="auto" w:fill="C6D9F1"/>
            <w:noWrap/>
            <w:vAlign w:val="bottom"/>
            <w:hideMark/>
          </w:tcPr>
          <w:p w14:paraId="72F2C84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895" w:type="dxa"/>
            <w:vMerge/>
            <w:shd w:val="clear" w:color="auto" w:fill="C6D9F1"/>
            <w:noWrap/>
            <w:vAlign w:val="bottom"/>
            <w:hideMark/>
          </w:tcPr>
          <w:p w14:paraId="66FA677E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2840" w:type="dxa"/>
            <w:vMerge/>
            <w:shd w:val="clear" w:color="auto" w:fill="C6D9F1"/>
            <w:noWrap/>
            <w:vAlign w:val="bottom"/>
            <w:hideMark/>
          </w:tcPr>
          <w:p w14:paraId="2F6137FF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980" w:type="dxa"/>
            <w:vMerge/>
            <w:shd w:val="clear" w:color="auto" w:fill="C6D9F1"/>
            <w:noWrap/>
            <w:vAlign w:val="bottom"/>
            <w:hideMark/>
          </w:tcPr>
          <w:p w14:paraId="3FAE08B4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290BDC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5CD53B5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1112D7B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7E2DF9" w:rsidRPr="00FD5C55" w14:paraId="2759BE3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81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8781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إرسال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7D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22BB5A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جهد البطارية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3D1A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0BEEF0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6892E9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670AE0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6CC49E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E3F3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C10417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ACC2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CA9F4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02B2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581781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2EA0B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7B646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E51140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3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D52E8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مراقبة المنسوب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5C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7E990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التأكد من التشغيل السليم، تنظيف التوصيلات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6957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5EB6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68573D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8B9788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456853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A33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1A53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عوامة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AFD0E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1D28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الوظيفي، موانع التسرب على الجسم، الحركة، تنظيف المرشح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A5D1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A534F3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131E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D91FAF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F086C8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075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1D576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العزل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3AEB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6AE3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فحص التشغيل، التشحيم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B5D56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C9C5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B879A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01FC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BFF3B72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8C7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A4733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88627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D9B763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132B3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6ECE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7FE84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39871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CC79FA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8349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67D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9D8FB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9EAA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F1A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7B7A33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FCB6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C00263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484173B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43A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17AD9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بالشعاع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FABF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93D0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تنظيف، اختبار موضعي/محلي للأشعة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A918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D1998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A0806E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0FEA81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DCA3A9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C233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75F43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ar" w:bidi="en-US"/>
              </w:rPr>
              <w:t>VESDA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AE70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A07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تدفق الهواء وتنظيف منافذ العينات وإجراء اختبار الدخان للتحقق من سلامة الأنابيب وفحص مصدر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8BECC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306B32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314CA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FA37B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FAF6D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64C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81E09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الكشف عن غاز أول أكسيد الكربون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5A68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E60BE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إزالة الغبار واختبار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689F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8C6EDC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C22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AE2F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6590A3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97D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DF7F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 على النوافذ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260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FE593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B25F4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FE63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13A8D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643BD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2BA41CC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9A8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F83C9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شغل المكان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38C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0BC2E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47D9A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755AD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22AE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36E8A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383327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7AEE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16B1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الدخان والحرائق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B23A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27A80A9" w14:textId="0FA9C88F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السليم، التحقق من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A6B6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B518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C77276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2305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8635B7C" w14:textId="77777777" w:rsidTr="005B4659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14:paraId="3B32C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13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حراري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9A9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E3A6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الدقة من خلال مقياس درجة الحرارة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6795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23EF69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32A3F4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bottom"/>
            <w:hideMark/>
          </w:tcPr>
          <w:p w14:paraId="56E2730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B022A0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987A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694E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بملف لولبي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87C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FFC3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التسرب وفحص الأسلاك على الملف والتوصيل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F7C7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C02D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5B1577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F765E0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DEF0E0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142A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99E6C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عدادات التدفق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BBD98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95D29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المعايرة وفحص التوصيلات وتنظيف شاشة المراقبة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BD83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5DA9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3FDCB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0286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7A896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921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E98E64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كهروضوئي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C650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0C7A7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 العين الضوئية،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C2701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52BB7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EE4B9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0D618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D6BE7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F572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E3E58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الاهتزازات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8C7C3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AAA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والتحقق من الدقة والتحقق من 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DFFE8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4350E5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73C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F676A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71F89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24FF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0E2015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مقياس حرارة مزدوج بالتيار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958F9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AFA8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وفحص الموضع وفحص الوصلة القارنة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B26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D2C16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F616C1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77D2E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9EB3C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B15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C4CC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الرطوبة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81C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DC1A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مرشح جهاز الاستشعار لتنظيفه من الأوساخ والغبار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EF55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8C0BF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8B70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1677B1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EBDF35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D93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260D7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التحكم الرقمي المباشر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3D7A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87FB2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المعايرة وفحص نقاط الضبط والتحقق من إدخالات قاعدة البيانات وفحص مشغلات المخمد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BA3A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35B1B2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2D5AB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BFE1D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D3E6C7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39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39489C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التيار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764E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B4B2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3135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ECBA3D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580F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527A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FF16F5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97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67173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المرحل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5671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50817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83F41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4372C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BAF16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5CBA1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4F60A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93C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09ABAF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04B9D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5ACBB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461E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20CC1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E581F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5B914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FFFA8F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758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17AE5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الجهد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88A06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7DF3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الجهد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6A67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8D08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791A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9F3EE0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7123E4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3BFC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499F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العداد الذكي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B65F58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8A1C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والنظافة وأي ضرر وفحص الوظيفة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7A2B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BD933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6A7FB9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56CB9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FC9650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CD0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4F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وحدات الإدخال والإخراج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953A9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F53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الحواف والتنظيف والتوصيلات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64A1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BA4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810C0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5C41E4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369823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3586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87D8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المخمد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D2CD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FE03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الربط وحرية الحركة، والتنظيف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EB7F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097E6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E65BA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FA2CB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223B6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5B62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319A9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ضغط الهواء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99701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B6E37F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عمليات الفحص البصري والتحقق من الإغلاق المحكم والتوصيلات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66B4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2C8EE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723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E36A9F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3C042B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244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0A654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أنظمة الإنذار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F6E2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4C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الإنذار، الإمداد بالطاقة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6F780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85C78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E7AB2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40BCC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3CE302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CB17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7413C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شاشة جهاز التحكم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CBAB31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7498B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بيانات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12D8B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B113F4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FB522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30863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4BF35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1A87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D428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والصيانة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3208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6C98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التأكد من الوثائق الحالية، ضمان الجودة/ضبط الجودة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2E80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3F39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20A8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9AB36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E778E8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C300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801F0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D870F2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5DEF17" w14:textId="10C31182" w:rsidR="007E2DF9" w:rsidRPr="00FD5C55" w:rsidRDefault="007E2DF9" w:rsidP="00DB04E6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التحقق من جهد </w:t>
            </w:r>
            <w:r w:rsidR="00DB04E6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المنفذ الكهربائي</w:t>
            </w:r>
            <w:r w:rsidR="00DB04E6"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</w:t>
            </w: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في المواصفات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A129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698A8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98777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D0045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277A0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95B3D7"/>
            <w:noWrap/>
            <w:vAlign w:val="center"/>
            <w:hideMark/>
          </w:tcPr>
          <w:p w14:paraId="0BA3A617" w14:textId="77777777" w:rsidR="007E2DF9" w:rsidRPr="00FD5C55" w:rsidRDefault="007E2DF9" w:rsidP="005B4659">
            <w:pPr>
              <w:bidi/>
              <w:spacing w:before="40" w:after="40"/>
              <w:ind w:hanging="14"/>
              <w:jc w:val="left"/>
              <w:rPr>
                <w:rFonts w:cs="Arial"/>
                <w:b/>
                <w:bCs/>
                <w:color w:val="FFFFFF"/>
                <w:lang w:eastAsia="en-IN"/>
              </w:rPr>
            </w:pPr>
            <w:r w:rsidRPr="00FD5C55">
              <w:rPr>
                <w:rFonts w:cs="Arial"/>
                <w:b/>
                <w:bCs/>
                <w:rtl/>
                <w:lang w:eastAsia="ar"/>
              </w:rPr>
              <w:t>ملاحظات إضافية:</w:t>
            </w:r>
          </w:p>
        </w:tc>
      </w:tr>
      <w:tr w:rsidR="007E2DF9" w:rsidRPr="00FD5C55" w14:paraId="4FBDE797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582195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0B1215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F2DB4DE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436A6638" w14:textId="7F7FE273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3E04E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552A724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78079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6C1D6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2F31F5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3EE2D7B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1F7A2D7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DF954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69C43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3E665E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7A30859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46F6A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15BBE5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0197338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6483FC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689D0B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0B859B0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4B660A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إكمال العمل: نعم/لا</w:t>
            </w:r>
          </w:p>
          <w:p w14:paraId="24B3844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5E783C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التوقيع:</w:t>
            </w:r>
          </w:p>
          <w:p w14:paraId="6DB7EC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  <w:p w14:paraId="43F1D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7E2DF9" w:rsidRPr="00FD5C55" w14:paraId="5EF51354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2B55851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الاسم:</w:t>
            </w:r>
          </w:p>
          <w:p w14:paraId="0AE06AA7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/>
            <w:shd w:val="clear" w:color="auto" w:fill="auto"/>
            <w:noWrap/>
            <w:vAlign w:val="center"/>
            <w:hideMark/>
          </w:tcPr>
          <w:p w14:paraId="5E683639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7AF3698F" w14:textId="77777777" w:rsidR="007E2DF9" w:rsidRPr="00FD5C55" w:rsidRDefault="007E2DF9" w:rsidP="007E2DF9">
      <w:pPr>
        <w:bidi/>
      </w:pPr>
    </w:p>
    <w:p w14:paraId="6725904D" w14:textId="77777777" w:rsidR="007E2DF9" w:rsidRPr="006B472E" w:rsidRDefault="007E2DF9" w:rsidP="007E2DF9">
      <w:pPr>
        <w:keepNext/>
        <w:tabs>
          <w:tab w:val="left" w:pos="936"/>
        </w:tabs>
        <w:bidi/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  <w:bidi/>
      </w:pPr>
    </w:p>
    <w:p w14:paraId="3EA10985" w14:textId="77777777" w:rsidR="007E2DF9" w:rsidRPr="000E2F00" w:rsidRDefault="007E2DF9" w:rsidP="007E2DF9">
      <w:pPr>
        <w:bidi/>
      </w:pP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90BF" w14:textId="77777777" w:rsidR="00E621ED" w:rsidRDefault="00E621ED">
      <w:r>
        <w:separator/>
      </w:r>
    </w:p>
    <w:p w14:paraId="5009BC1D" w14:textId="77777777" w:rsidR="00E621ED" w:rsidRDefault="00E621ED"/>
  </w:endnote>
  <w:endnote w:type="continuationSeparator" w:id="0">
    <w:p w14:paraId="4936FA8C" w14:textId="77777777" w:rsidR="00E621ED" w:rsidRDefault="00E621ED">
      <w:r>
        <w:continuationSeparator/>
      </w:r>
    </w:p>
    <w:p w14:paraId="5D36A63F" w14:textId="77777777" w:rsidR="00E621ED" w:rsidRDefault="00E62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40BEDF46" w:rsidR="009210BF" w:rsidRDefault="00E621ED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B75C0">
          <w:rPr>
            <w:sz w:val="16"/>
            <w:szCs w:val="16"/>
            <w:lang w:val="en-AU"/>
          </w:rPr>
          <w:t>EOM-ZM0-TP-000068</w:t>
        </w:r>
        <w:r w:rsidR="00905B9F">
          <w:rPr>
            <w:sz w:val="16"/>
            <w:szCs w:val="16"/>
            <w:lang w:val="en-AU"/>
          </w:rPr>
          <w:t>-AR</w:t>
        </w:r>
        <w:r w:rsidR="005B75C0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3124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3124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7008" w14:textId="77777777" w:rsidR="00E621ED" w:rsidRDefault="00E621ED">
      <w:r>
        <w:separator/>
      </w:r>
    </w:p>
    <w:p w14:paraId="5552A7FD" w14:textId="77777777" w:rsidR="00E621ED" w:rsidRDefault="00E621ED"/>
  </w:footnote>
  <w:footnote w:type="continuationSeparator" w:id="0">
    <w:p w14:paraId="24742E21" w14:textId="77777777" w:rsidR="00E621ED" w:rsidRDefault="00E621ED">
      <w:r>
        <w:continuationSeparator/>
      </w:r>
    </w:p>
    <w:p w14:paraId="181A5B2B" w14:textId="77777777" w:rsidR="00E621ED" w:rsidRDefault="00E62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E32AA30" w:rsidR="009210BF" w:rsidRPr="006A25F8" w:rsidRDefault="00826A6F" w:rsidP="00385778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26A6F">
            <w:rPr>
              <w:kern w:val="32"/>
              <w:sz w:val="24"/>
              <w:szCs w:val="24"/>
              <w:rtl/>
              <w:lang w:eastAsia="ar"/>
            </w:rPr>
            <w:t>نموذج الجدول الزمني للصيانة المخطط لها لأنظمة القياس والتحكم - المرافق المكتبية</w:t>
          </w:r>
        </w:p>
      </w:tc>
    </w:tr>
  </w:tbl>
  <w:p w14:paraId="0FE4F66F" w14:textId="78B7E7DF" w:rsidR="009210BF" w:rsidRPr="005B75C0" w:rsidRDefault="005B75C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C3AF6C" wp14:editId="44959C1A">
          <wp:simplePos x="0" y="0"/>
          <wp:positionH relativeFrom="column">
            <wp:posOffset>-701040</wp:posOffset>
          </wp:positionH>
          <wp:positionV relativeFrom="paragraph">
            <wp:posOffset>-581660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D22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242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B75C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5B9F"/>
    <w:rsid w:val="00906666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4E6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21ED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E9AC7-914C-473A-9194-F3033408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2835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EOM-ZM0-TP-000068-AR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2021-08-22T20:21:00Z</dcterms:created>
  <dcterms:modified xsi:type="dcterms:W3CDTF">2021-12-22T07:44:00Z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